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33E9" w:rsidRPr="00480AAD" w:rsidRDefault="00CB33E9" w:rsidP="00CB33E9">
      <w:pPr>
        <w:pStyle w:val="Nagwek1"/>
        <w:jc w:val="both"/>
        <w:rPr>
          <w:rFonts w:ascii="Times New Roman" w:hAnsi="Times New Roman" w:cs="Times New Roman"/>
          <w:b/>
          <w:bCs/>
          <w:color w:val="auto"/>
          <w:sz w:val="36"/>
          <w:szCs w:val="36"/>
          <w:lang w:val="pl-PL"/>
        </w:rPr>
      </w:pPr>
      <w:r w:rsidRPr="00480AAD">
        <w:rPr>
          <w:rFonts w:ascii="Times New Roman" w:hAnsi="Times New Roman" w:cs="Times New Roman"/>
          <w:b/>
          <w:bCs/>
          <w:color w:val="auto"/>
          <w:sz w:val="36"/>
          <w:szCs w:val="36"/>
          <w:lang w:val="pl-PL"/>
        </w:rPr>
        <w:t>A</w:t>
      </w:r>
      <w:r>
        <w:rPr>
          <w:rFonts w:ascii="Times New Roman" w:hAnsi="Times New Roman" w:cs="Times New Roman"/>
          <w:b/>
          <w:bCs/>
          <w:color w:val="auto"/>
          <w:sz w:val="36"/>
          <w:szCs w:val="36"/>
          <w:lang w:val="pl-PL"/>
        </w:rPr>
        <w:t>bstrakt</w:t>
      </w:r>
    </w:p>
    <w:p w:rsidR="00CB33E9" w:rsidRPr="00621531" w:rsidRDefault="00CB33E9" w:rsidP="00CB33E9">
      <w:pPr>
        <w:rPr>
          <w:lang w:val="pl-PL" w:bidi="ar-SA"/>
        </w:rPr>
      </w:pPr>
    </w:p>
    <w:p w:rsidR="00CB33E9" w:rsidRPr="0038585B" w:rsidRDefault="00CB33E9" w:rsidP="00CB33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Rozdział 1 przedstawionej pracy doktorskiej opisuje efekty nasilających się zmian klimatycznych, wywołanych przez człowieka jak i naturalnych, oraz postępujące wyczerpywanie się tradycyjnych </w:t>
      </w:r>
      <w:bookmarkStart w:id="0" w:name="_Hlk148431985"/>
      <w:r w:rsidRPr="0038585B">
        <w:rPr>
          <w:rFonts w:ascii="Times New Roman" w:hAnsi="Times New Roman" w:cs="Times New Roman"/>
          <w:sz w:val="24"/>
          <w:szCs w:val="24"/>
          <w:lang w:val="pl-PL"/>
        </w:rPr>
        <w:t>źródeł</w:t>
      </w:r>
      <w:bookmarkEnd w:id="0"/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 energii, co spowodowało poszukiwanie nowych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ich</w:t>
      </w:r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 źródeł takich jak biomasa, energia geotermalna, wiatr, a w szczególności energia słoneczna. Nowe źródła energii scharakteryzowano pod względem wydajności. Ponadto podano ogólne przepisy dotyczące ochrony środowiska. Wiele uwagi poświęcono wykorzystaniu energii słonecznej. </w:t>
      </w:r>
    </w:p>
    <w:p w:rsidR="00CB33E9" w:rsidRPr="0038585B" w:rsidRDefault="00CB33E9" w:rsidP="00CB33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B33E9" w:rsidRPr="0038585B" w:rsidRDefault="00CB33E9" w:rsidP="00CB33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8585B">
        <w:rPr>
          <w:rFonts w:ascii="Times New Roman" w:hAnsi="Times New Roman" w:cs="Times New Roman"/>
          <w:sz w:val="24"/>
          <w:szCs w:val="24"/>
          <w:lang w:val="pl-PL"/>
        </w:rPr>
        <w:t>Rozdział 2 podaje teoretyczne podstawy dotyczące tematu bada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ń </w:t>
      </w:r>
      <w:r w:rsidRPr="0038585B">
        <w:rPr>
          <w:rFonts w:ascii="Times New Roman" w:hAnsi="Times New Roman" w:cs="Times New Roman"/>
          <w:sz w:val="24"/>
          <w:szCs w:val="24"/>
          <w:lang w:val="pl-PL"/>
        </w:rPr>
        <w:t>prezentowanej pracy doktorskiej. Podano podstawowe informacje na temat poziomów energetycznych metali, półprzewodników i izolatorów. Pokrótce omówiono powstawanie ziaren podczas krystalizacji cienkowarstwowej oraz wpływ granic ziaren na transport ładunku w cienkich warstwach perowskitu. W tym rozdziale wyjaśniono także mechanizmy transportu i wychwytywania ładunku w cienkich warstwach. W tym rozdziale pokrótce opisano także mechanizmy rekombinacji 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różnych rodzajach</w:t>
      </w:r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 półprzewodnik</w:t>
      </w:r>
      <w:r>
        <w:rPr>
          <w:rFonts w:ascii="Times New Roman" w:hAnsi="Times New Roman" w:cs="Times New Roman"/>
          <w:sz w:val="24"/>
          <w:szCs w:val="24"/>
          <w:lang w:val="pl-PL"/>
        </w:rPr>
        <w:t>ów</w:t>
      </w:r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. Następnie szczegółowo wyjaśniono podstawy działania ogniw słonecznych opartych na złączu p-n, w którym wyjaśniono powstawanie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/>
        </w:rPr>
        <w:t>ekscytonów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 lub pary elektron-dziura pod wpływem absorpcji światła. Zdefiniowano istotne parametry pomiarów dla ogniw słonecznych, takie jak gęstość prądu zwarcia (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/>
        </w:rPr>
        <w:t>J</w:t>
      </w:r>
      <w:r w:rsidRPr="0038585B">
        <w:rPr>
          <w:rFonts w:ascii="Times New Roman" w:hAnsi="Times New Roman" w:cs="Times New Roman"/>
          <w:sz w:val="24"/>
          <w:szCs w:val="24"/>
          <w:vertAlign w:val="subscript"/>
          <w:lang w:val="pl-PL"/>
        </w:rPr>
        <w:t>sc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/>
        </w:rPr>
        <w:t>), napięcie obwodu otwartego (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/>
        </w:rPr>
        <w:t>V</w:t>
      </w:r>
      <w:r w:rsidRPr="0038585B">
        <w:rPr>
          <w:rFonts w:ascii="Times New Roman" w:hAnsi="Times New Roman" w:cs="Times New Roman"/>
          <w:sz w:val="24"/>
          <w:szCs w:val="24"/>
          <w:vertAlign w:val="subscript"/>
          <w:lang w:val="pl-PL"/>
        </w:rPr>
        <w:t>oc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), współczynnik wypełnienia (FF) i </w:t>
      </w:r>
      <w:r w:rsidRPr="0038585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wydajność konwersji mocy </w:t>
      </w:r>
      <w:r w:rsidRPr="0038585B">
        <w:rPr>
          <w:rFonts w:ascii="Times New Roman" w:hAnsi="Times New Roman" w:cs="Times New Roman"/>
          <w:sz w:val="24"/>
          <w:szCs w:val="24"/>
          <w:lang w:val="pl-PL"/>
        </w:rPr>
        <w:t>(PCE). Mechanizmy procesów wytwarzania ładunku w cienkowarstwowym ogniwie słonecznym po absorpcji energii świ</w:t>
      </w:r>
      <w:r>
        <w:rPr>
          <w:rFonts w:ascii="Times New Roman" w:hAnsi="Times New Roman" w:cs="Times New Roman"/>
          <w:sz w:val="24"/>
          <w:szCs w:val="24"/>
          <w:lang w:val="pl-PL"/>
        </w:rPr>
        <w:t>etlnej</w:t>
      </w:r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 zostały omówione w dalszej części tego rozdziału wraz z krótkim opisem różnych obszarów widma elektromagnetycznego słońca, z których ogniwo słoneczne może pozyskiwać energię, tj. Zakres ultrafioletu (UV), zakres bliskiego UV, zakres podczerwieni (IR) i zakres widzialny (Vis). Przedstawiono definicj</w:t>
      </w:r>
      <w:r>
        <w:rPr>
          <w:rFonts w:ascii="Times New Roman" w:hAnsi="Times New Roman" w:cs="Times New Roman"/>
          <w:sz w:val="24"/>
          <w:szCs w:val="24"/>
          <w:lang w:val="pl-PL"/>
        </w:rPr>
        <w:t>ę</w:t>
      </w:r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 współczynnika masy powietrza (AM) i jego znaczenie w celu wyjaśnienia sposobu w jaki energia światła słonecznego jest rozpraszana dla różnych długości fal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 co pozwala zrozumieć funkcjonowanie różnych ogniw słonecznych przy różnych długościach fal.</w:t>
      </w:r>
    </w:p>
    <w:p w:rsidR="00CB33E9" w:rsidRPr="0038585B" w:rsidRDefault="00CB33E9" w:rsidP="00CB33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B33E9" w:rsidRPr="0038585B" w:rsidRDefault="00CB33E9" w:rsidP="00CB33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Rozdział 3 przedstawia rozwój technologii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/>
        </w:rPr>
        <w:t>perowskitowych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 ogniw słonecznych w sektorze energetycznym i potencjał jej komercjalizacji, biorąc pod uwagę niski koszt, stabilność, możliwość przeskalowania i zastosowania zielonej energii. Pokrótce wyjaśniono ewolucję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/>
        </w:rPr>
        <w:lastRenderedPageBreak/>
        <w:t>perowskitowych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 ogniw słonecznych począwszy od ich starszej generacji barwnikowych ogniw słonecznych (DSSC). Pokrótce wyjaśniono struktur</w:t>
      </w:r>
      <w:r>
        <w:rPr>
          <w:rFonts w:ascii="Times New Roman" w:hAnsi="Times New Roman" w:cs="Times New Roman"/>
          <w:sz w:val="24"/>
          <w:szCs w:val="24"/>
          <w:lang w:val="pl-PL"/>
        </w:rPr>
        <w:t>y</w:t>
      </w:r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 krystaliczn</w:t>
      </w:r>
      <w:r>
        <w:rPr>
          <w:rFonts w:ascii="Times New Roman" w:hAnsi="Times New Roman" w:cs="Times New Roman"/>
          <w:sz w:val="24"/>
          <w:szCs w:val="24"/>
          <w:lang w:val="pl-PL"/>
        </w:rPr>
        <w:t>e</w:t>
      </w:r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/>
        </w:rPr>
        <w:t>perowskitów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pl-PL"/>
        </w:rPr>
        <w:t>ich</w:t>
      </w:r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 rodzaje ze względu na strukturę sieciową oraz współczynnik tolerancji Goldschmidta opisujący stabilność struktury perowskitu. Następnie szczegółowo wyjaśniono strukturę elektronową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/>
        </w:rPr>
        <w:t>perowskitów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, aby wyjaśnić jej przewagę nad technologiami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/>
        </w:rPr>
        <w:t>GaAs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 i Si. </w:t>
      </w:r>
      <w:r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38585B">
        <w:rPr>
          <w:rFonts w:ascii="Times New Roman" w:hAnsi="Times New Roman" w:cs="Times New Roman"/>
          <w:sz w:val="24"/>
          <w:szCs w:val="24"/>
          <w:lang w:val="pl-PL"/>
        </w:rPr>
        <w:t>pisano funkcję każdego składnika struktury krystalicznej perowskitu ABX</w:t>
      </w:r>
      <w:r w:rsidRPr="0038585B">
        <w:rPr>
          <w:rFonts w:ascii="Times New Roman" w:hAnsi="Times New Roman" w:cs="Times New Roman"/>
          <w:sz w:val="24"/>
          <w:szCs w:val="24"/>
          <w:vertAlign w:val="subscript"/>
          <w:lang w:val="pl-PL"/>
        </w:rPr>
        <w:t>3</w:t>
      </w:r>
      <w:r w:rsidRPr="0038585B">
        <w:rPr>
          <w:rFonts w:ascii="Times New Roman" w:hAnsi="Times New Roman" w:cs="Times New Roman"/>
          <w:sz w:val="24"/>
          <w:szCs w:val="24"/>
          <w:lang w:val="pl-PL"/>
        </w:rPr>
        <w:t>, gdzie A jest kationem organicznym, B jest jonem metalu dwuwartościowego, a X jest jonem halogenkowym. Następnie omówiono różne techniki wytwarzania warstw perowskitu wraz z technikami wytwarzania chemicznego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oraz </w:t>
      </w:r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szczegółowo omówiono model przesycenia La Mera podczas zarodkowania i wzrostu cienkiej warstwy. Omówiono różne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/>
        </w:rPr>
        <w:t>antyrozpuszczalniki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 stosowane do wygaszania w technice wkraplania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/>
        </w:rPr>
        <w:t>antyrozpuszczalnika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 (ADT) w celu uzyskania gładszych i jednolitych warstw perowskitu oraz ich mechanizm zmniejszania rozpuszczalności rozpuszczalnika pierwotnego. W skrócony sposób wyjaśniono różne rodzaje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/>
        </w:rPr>
        <w:t>antyrozpuszczalników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 oraz </w:t>
      </w:r>
      <w:r w:rsidRPr="001E73DF">
        <w:rPr>
          <w:rFonts w:ascii="Times New Roman" w:hAnsi="Times New Roman" w:cs="Times New Roman"/>
          <w:sz w:val="24"/>
          <w:szCs w:val="24"/>
          <w:lang w:val="pl-PL"/>
        </w:rPr>
        <w:t>czas i tempo</w:t>
      </w:r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 ich stosowania. Szczegółowo wyjaśniono mechanizm transportu ładunku wraz z mechanizmami wychwytywania w granicach ziaren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/>
        </w:rPr>
        <w:t>perowskitowych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 ogniw słonecznych, a na koniec omówiono pomiary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/>
        </w:rPr>
        <w:t>perowskitowych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 ogniw słonecznych dla standardowych protokołów w celu uzyskania parametrów pomiarowych (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/>
        </w:rPr>
        <w:t>J</w:t>
      </w:r>
      <w:r w:rsidRPr="0038585B">
        <w:rPr>
          <w:rFonts w:ascii="Times New Roman" w:hAnsi="Times New Roman" w:cs="Times New Roman"/>
          <w:sz w:val="24"/>
          <w:szCs w:val="24"/>
          <w:vertAlign w:val="subscript"/>
          <w:lang w:val="pl-PL"/>
        </w:rPr>
        <w:t>sc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/>
        </w:rPr>
        <w:t>V</w:t>
      </w:r>
      <w:r w:rsidRPr="0038585B">
        <w:rPr>
          <w:rFonts w:ascii="Times New Roman" w:hAnsi="Times New Roman" w:cs="Times New Roman"/>
          <w:sz w:val="24"/>
          <w:szCs w:val="24"/>
          <w:vertAlign w:val="subscript"/>
          <w:lang w:val="pl-PL"/>
        </w:rPr>
        <w:t>oc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, FF i PCE) wraz z periodycznym śledzeniem maksymalnego punktu mocy (MPPT), które zmniejsza efekty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/>
        </w:rPr>
        <w:t>pre-bias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/>
        </w:rPr>
        <w:t>, takie jak migracja jonów, która może prowadzić do niedokładności pomiarów urządzenia.</w:t>
      </w:r>
    </w:p>
    <w:p w:rsidR="00CB33E9" w:rsidRPr="0038585B" w:rsidRDefault="00CB33E9" w:rsidP="00CB33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B33E9" w:rsidRPr="0038585B" w:rsidRDefault="00CB33E9" w:rsidP="00CB33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 w:bidi="ar-SA"/>
        </w:rPr>
      </w:pP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Rozdział 4 rozpoczyna się od wyjaśnienia wpływu koloidów na wzrost warstw perowskitu. Do śledzenia rozpuszczania koloidów w czasie, spowodowanego dodatkiem kwasów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halogenowodorowych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, wykorzystano analizę dynamicznego rozpraszania światła. Miejsca zarodkowania, jakie wydają się zapewniać te koloidy dla krystalizacji perowskitu, mają znaczący wpływ na kształt kryształu, 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 xml:space="preserve">jego 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jakość i możliwości optoelektroniczne, które zaobserwowano w tej pracy. Bardzo ważnym punktem badań było przeprowadzenie syntezy jodku metyloamonu (CH</w:t>
      </w:r>
      <w:r w:rsidRPr="0038585B">
        <w:rPr>
          <w:rFonts w:ascii="Times New Roman" w:hAnsi="Times New Roman" w:cs="Times New Roman"/>
          <w:sz w:val="24"/>
          <w:szCs w:val="24"/>
          <w:vertAlign w:val="subscript"/>
          <w:lang w:val="pl-PL" w:bidi="ar-SA"/>
        </w:rPr>
        <w:t>3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NH</w:t>
      </w:r>
      <w:r w:rsidRPr="0038585B">
        <w:rPr>
          <w:rFonts w:ascii="Times New Roman" w:hAnsi="Times New Roman" w:cs="Times New Roman"/>
          <w:sz w:val="24"/>
          <w:szCs w:val="24"/>
          <w:vertAlign w:val="subscript"/>
          <w:lang w:val="pl-PL" w:bidi="ar-SA"/>
        </w:rPr>
        <w:t>3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I, MAI) w unikalny sposób, który pozwala uzyskać ultra czysty materiał przy zastosowaniu taniego i prostego procesu. Ta metoda wytwarzania MAI zapewnia lepszą kontrolę nad koloidalnym roztworem prekursora perowskitu.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Perowskitowe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ogniwa słoneczne charakteryzujące się PCE powyżej 15% zostały wyprodukowane na podłożach na bazie szkła (2,0 x 1,5 cm</w:t>
      </w:r>
      <w:r w:rsidRPr="0038585B">
        <w:rPr>
          <w:rFonts w:ascii="Times New Roman" w:hAnsi="Times New Roman" w:cs="Times New Roman"/>
          <w:sz w:val="24"/>
          <w:szCs w:val="24"/>
          <w:vertAlign w:val="superscript"/>
          <w:lang w:val="pl-PL" w:bidi="ar-SA"/>
        </w:rPr>
        <w:t>2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), ten protokół syntezy zastosowano również do innych jodków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alkiloamoniowych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. Do rozprawy doktorskiej dołączono kopię pracy zatytułowan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ą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„</w:t>
      </w:r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New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Synthetic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Route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of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Ultrapure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Alkylammonium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Iodides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for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Perovskite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Thin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Films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of Superior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lastRenderedPageBreak/>
        <w:t>Optoelectronic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Properties</w:t>
      </w:r>
      <w:proofErr w:type="spellEnd"/>
      <w:r w:rsidRPr="0038585B">
        <w:rPr>
          <w:rFonts w:ascii="Times New Roman" w:eastAsiaTheme="minorEastAsia" w:hAnsi="Times New Roman" w:cs="Times New Roman"/>
          <w:sz w:val="24"/>
          <w:szCs w:val="24"/>
          <w:lang w:val="pl-PL"/>
        </w:rPr>
        <w:t xml:space="preserve">” (DOI: </w:t>
      </w:r>
      <w:r w:rsidRPr="0038585B">
        <w:rPr>
          <w:rFonts w:ascii="Times New Roman" w:hAnsi="Times New Roman" w:cs="Times New Roman"/>
          <w:sz w:val="24"/>
          <w:szCs w:val="24"/>
          <w:lang w:val="pl-PL"/>
        </w:rPr>
        <w:t>10.1002/ente.202000478)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prezentując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ą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tę część badań wykonanych w ramach pracy doktorskiej. </w:t>
      </w:r>
    </w:p>
    <w:p w:rsidR="00CB33E9" w:rsidRPr="00480AAD" w:rsidRDefault="00CB33E9" w:rsidP="00CB33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 w:bidi="ar-SA"/>
        </w:rPr>
      </w:pP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</w:t>
      </w:r>
    </w:p>
    <w:p w:rsidR="00CB33E9" w:rsidRDefault="00CB33E9" w:rsidP="00CB33E9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pl-PL"/>
        </w:rPr>
      </w:pP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W drugiej części rozdziału 4 zastosowano spektroskopię odbicia w bliskiej podczerwieni do elastycznych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perowskitowych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ogniw słonecznych na bazie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politereftalanu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etylenu/tlenku cynku (PET/IZO) (0,18 x 0,13 cm</w:t>
      </w:r>
      <w:r w:rsidRPr="0038585B">
        <w:rPr>
          <w:rFonts w:ascii="Times New Roman" w:hAnsi="Times New Roman" w:cs="Times New Roman"/>
          <w:sz w:val="24"/>
          <w:szCs w:val="24"/>
          <w:vertAlign w:val="superscript"/>
          <w:lang w:val="pl-PL" w:bidi="ar-SA"/>
        </w:rPr>
        <w:t>2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) w celu zbadania kontrolowanego w czasie starzenia ogniw słonecznych. </w:t>
      </w:r>
      <w:r w:rsidRPr="00CC2903">
        <w:rPr>
          <w:rFonts w:ascii="Times New Roman" w:hAnsi="Times New Roman" w:cs="Times New Roman"/>
          <w:sz w:val="24"/>
          <w:szCs w:val="24"/>
          <w:lang w:val="pl-PL" w:bidi="ar-SA"/>
        </w:rPr>
        <w:t xml:space="preserve">Zastosowano </w:t>
      </w:r>
      <w:r w:rsidRPr="00760EED">
        <w:rPr>
          <w:rFonts w:ascii="Times New Roman" w:hAnsi="Times New Roman" w:cs="Times New Roman"/>
          <w:sz w:val="24"/>
          <w:szCs w:val="24"/>
          <w:lang w:val="pl-PL" w:bidi="ar-SA"/>
        </w:rPr>
        <w:t>dwuwymiarową spektroskopię korelacyjną (2DCOS</w:t>
      </w:r>
      <w:r w:rsidRPr="007368D1">
        <w:rPr>
          <w:rFonts w:ascii="Times New Roman" w:hAnsi="Times New Roman" w:cs="Times New Roman"/>
          <w:sz w:val="24"/>
          <w:szCs w:val="24"/>
          <w:lang w:val="pl-PL" w:bidi="ar-SA"/>
        </w:rPr>
        <w:t xml:space="preserve">) </w:t>
      </w:r>
      <w:r w:rsidRPr="007368D1">
        <w:rPr>
          <w:rFonts w:ascii="Times New Roman" w:hAnsi="Times New Roman" w:cs="Times New Roman"/>
          <w:sz w:val="24"/>
          <w:szCs w:val="24"/>
          <w:lang w:val="pl-PL"/>
        </w:rPr>
        <w:t xml:space="preserve">dla zmiennej w czasie </w:t>
      </w:r>
      <w:proofErr w:type="spellStart"/>
      <w:r w:rsidRPr="007368D1">
        <w:rPr>
          <w:rFonts w:ascii="Times New Roman" w:hAnsi="Times New Roman" w:cs="Times New Roman"/>
          <w:sz w:val="24"/>
          <w:szCs w:val="24"/>
          <w:lang w:val="pl-PL"/>
        </w:rPr>
        <w:t>reflektancji</w:t>
      </w:r>
      <w:proofErr w:type="spellEnd"/>
      <w:r w:rsidRPr="007368D1">
        <w:rPr>
          <w:rFonts w:ascii="Times New Roman" w:hAnsi="Times New Roman" w:cs="Times New Roman"/>
          <w:sz w:val="24"/>
          <w:szCs w:val="24"/>
          <w:lang w:val="pl-PL"/>
        </w:rPr>
        <w:t xml:space="preserve"> w podczerwien</w:t>
      </w:r>
      <w:r w:rsidRPr="001B0634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1B0634">
        <w:rPr>
          <w:rFonts w:ascii="Times New Roman" w:hAnsi="Times New Roman" w:cs="Times New Roman"/>
          <w:sz w:val="24"/>
          <w:szCs w:val="24"/>
          <w:lang w:val="pl-PL" w:bidi="ar-SA"/>
        </w:rPr>
        <w:t>,</w:t>
      </w:r>
      <w:r w:rsidRPr="00CC2903">
        <w:rPr>
          <w:rFonts w:ascii="Times New Roman" w:hAnsi="Times New Roman" w:cs="Times New Roman"/>
          <w:sz w:val="24"/>
          <w:szCs w:val="24"/>
          <w:lang w:val="pl-PL" w:bidi="ar-SA"/>
        </w:rPr>
        <w:t xml:space="preserve"> aby wyjaśnić jednoczesne zmiany 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 xml:space="preserve">natężeń </w:t>
      </w:r>
      <w:r w:rsidRPr="00CC2903">
        <w:rPr>
          <w:rFonts w:ascii="Times New Roman" w:hAnsi="Times New Roman" w:cs="Times New Roman"/>
          <w:sz w:val="24"/>
          <w:szCs w:val="24"/>
          <w:lang w:val="pl-PL" w:bidi="ar-SA"/>
        </w:rPr>
        <w:t>spektralnych, które były związane z chemicznymi i optycznymi zaburzeniami interakcji molekularnych różnych związków chemicznych podczas starzenia wytworzonych warstw perowskitu.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Podano wyjaśnienie mechanizmu degradacji perowskitu. Najbardziej widoczne zmiany we współczynniku odbicia zaobserwowano w przypadku starzejących się ogniw słonecznych bez srebrnej elektrody, co sugeruje, że ogniwa bez bariery ochronnej mogą być bardziej podatne na zewnętrzne czynniki degradacji, takie jak stres związany ze światłem i termiczny. Do rozprawy doktorskiej dołączono kopi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ę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pracy „</w:t>
      </w:r>
      <w:r w:rsidRPr="0038585B">
        <w:rPr>
          <w:rFonts w:ascii="Times New Roman" w:hAnsi="Times New Roman"/>
          <w:bCs/>
          <w:i/>
          <w:iCs/>
          <w:sz w:val="24"/>
          <w:szCs w:val="24"/>
          <w:lang w:val="pl-PL"/>
        </w:rPr>
        <w:t xml:space="preserve">Analysis of </w:t>
      </w:r>
      <w:proofErr w:type="spellStart"/>
      <w:r w:rsidRPr="0038585B">
        <w:rPr>
          <w:rFonts w:ascii="Times New Roman" w:hAnsi="Times New Roman"/>
          <w:bCs/>
          <w:i/>
          <w:iCs/>
          <w:sz w:val="24"/>
          <w:szCs w:val="24"/>
          <w:lang w:val="pl-PL"/>
        </w:rPr>
        <w:t>Perovskite</w:t>
      </w:r>
      <w:proofErr w:type="spellEnd"/>
      <w:r w:rsidRPr="0038585B">
        <w:rPr>
          <w:rFonts w:ascii="Times New Roman" w:hAnsi="Times New Roman"/>
          <w:bCs/>
          <w:i/>
          <w:iCs/>
          <w:sz w:val="24"/>
          <w:szCs w:val="24"/>
          <w:lang w:val="pl-PL"/>
        </w:rPr>
        <w:t xml:space="preserve"> Solar Cell </w:t>
      </w:r>
      <w:proofErr w:type="spellStart"/>
      <w:r w:rsidRPr="0038585B">
        <w:rPr>
          <w:rFonts w:ascii="Times New Roman" w:hAnsi="Times New Roman"/>
          <w:bCs/>
          <w:i/>
          <w:iCs/>
          <w:sz w:val="24"/>
          <w:szCs w:val="24"/>
          <w:lang w:val="pl-PL"/>
        </w:rPr>
        <w:t>Degradation</w:t>
      </w:r>
      <w:proofErr w:type="spellEnd"/>
      <w:r w:rsidRPr="0038585B">
        <w:rPr>
          <w:rFonts w:ascii="Times New Roman" w:hAnsi="Times New Roman"/>
          <w:bCs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hAnsi="Times New Roman"/>
          <w:bCs/>
          <w:i/>
          <w:iCs/>
          <w:sz w:val="24"/>
          <w:szCs w:val="24"/>
          <w:lang w:val="pl-PL"/>
        </w:rPr>
        <w:t>over</w:t>
      </w:r>
      <w:proofErr w:type="spellEnd"/>
      <w:r w:rsidRPr="0038585B">
        <w:rPr>
          <w:rFonts w:ascii="Times New Roman" w:hAnsi="Times New Roman"/>
          <w:bCs/>
          <w:i/>
          <w:iCs/>
          <w:sz w:val="24"/>
          <w:szCs w:val="24"/>
          <w:lang w:val="pl-PL"/>
        </w:rPr>
        <w:t xml:space="preserve"> Time </w:t>
      </w:r>
      <w:proofErr w:type="spellStart"/>
      <w:r w:rsidRPr="0038585B">
        <w:rPr>
          <w:rFonts w:ascii="Times New Roman" w:hAnsi="Times New Roman"/>
          <w:bCs/>
          <w:i/>
          <w:iCs/>
          <w:sz w:val="24"/>
          <w:szCs w:val="24"/>
          <w:lang w:val="pl-PL"/>
        </w:rPr>
        <w:t>using</w:t>
      </w:r>
      <w:proofErr w:type="spellEnd"/>
      <w:r w:rsidRPr="0038585B">
        <w:rPr>
          <w:rFonts w:ascii="Times New Roman" w:hAnsi="Times New Roman"/>
          <w:bCs/>
          <w:i/>
          <w:iCs/>
          <w:sz w:val="24"/>
          <w:szCs w:val="24"/>
          <w:lang w:val="pl-PL"/>
        </w:rPr>
        <w:t xml:space="preserve"> NIR </w:t>
      </w:r>
      <w:proofErr w:type="spellStart"/>
      <w:r w:rsidRPr="0038585B">
        <w:rPr>
          <w:rFonts w:ascii="Times New Roman" w:hAnsi="Times New Roman"/>
          <w:bCs/>
          <w:i/>
          <w:iCs/>
          <w:sz w:val="24"/>
          <w:szCs w:val="24"/>
          <w:lang w:val="pl-PL"/>
        </w:rPr>
        <w:t>Spectroscopy</w:t>
      </w:r>
      <w:proofErr w:type="spellEnd"/>
      <w:r w:rsidRPr="0038585B">
        <w:rPr>
          <w:rFonts w:ascii="Times New Roman" w:hAnsi="Times New Roman"/>
          <w:bCs/>
          <w:i/>
          <w:iCs/>
          <w:sz w:val="24"/>
          <w:szCs w:val="24"/>
          <w:lang w:val="pl-PL"/>
        </w:rPr>
        <w:t xml:space="preserve"> – </w:t>
      </w:r>
      <w:r>
        <w:rPr>
          <w:rFonts w:ascii="Times New Roman" w:hAnsi="Times New Roman"/>
          <w:bCs/>
          <w:i/>
          <w:iCs/>
          <w:sz w:val="24"/>
          <w:szCs w:val="24"/>
          <w:lang w:val="pl-PL"/>
        </w:rPr>
        <w:t>a</w:t>
      </w:r>
      <w:r w:rsidRPr="0038585B">
        <w:rPr>
          <w:rFonts w:ascii="Times New Roman" w:hAnsi="Times New Roman"/>
          <w:bCs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hAnsi="Times New Roman"/>
          <w:bCs/>
          <w:i/>
          <w:iCs/>
          <w:sz w:val="24"/>
          <w:szCs w:val="24"/>
          <w:lang w:val="pl-PL"/>
        </w:rPr>
        <w:t>Novel</w:t>
      </w:r>
      <w:proofErr w:type="spellEnd"/>
      <w:r w:rsidRPr="0038585B">
        <w:rPr>
          <w:rFonts w:ascii="Times New Roman" w:hAnsi="Times New Roman"/>
          <w:bCs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hAnsi="Times New Roman"/>
          <w:bCs/>
          <w:i/>
          <w:iCs/>
          <w:sz w:val="24"/>
          <w:szCs w:val="24"/>
          <w:lang w:val="pl-PL"/>
        </w:rPr>
        <w:t>Approach</w:t>
      </w:r>
      <w:proofErr w:type="spellEnd"/>
      <w:r>
        <w:rPr>
          <w:rFonts w:ascii="Times New Roman" w:hAnsi="Times New Roman"/>
          <w:bCs/>
          <w:sz w:val="24"/>
          <w:szCs w:val="24"/>
          <w:lang w:val="pl-PL"/>
        </w:rPr>
        <w:t>”</w:t>
      </w:r>
      <w:r w:rsidRPr="0038585B">
        <w:rPr>
          <w:rFonts w:ascii="Times New Roman" w:hAnsi="Times New Roman"/>
          <w:bCs/>
          <w:sz w:val="24"/>
          <w:szCs w:val="24"/>
          <w:lang w:val="pl-PL"/>
        </w:rPr>
        <w:t xml:space="preserve"> (DOI: 10.3390/en15155397) poświęcon</w:t>
      </w:r>
      <w:r>
        <w:rPr>
          <w:rFonts w:ascii="Times New Roman" w:hAnsi="Times New Roman"/>
          <w:bCs/>
          <w:sz w:val="24"/>
          <w:szCs w:val="24"/>
          <w:lang w:val="pl-PL"/>
        </w:rPr>
        <w:t>ą</w:t>
      </w:r>
      <w:r w:rsidRPr="0038585B">
        <w:rPr>
          <w:rFonts w:ascii="Times New Roman" w:hAnsi="Times New Roman"/>
          <w:bCs/>
          <w:sz w:val="24"/>
          <w:szCs w:val="24"/>
          <w:lang w:val="pl-PL"/>
        </w:rPr>
        <w:t xml:space="preserve"> tej części bada</w:t>
      </w:r>
      <w:r>
        <w:rPr>
          <w:rFonts w:ascii="Times New Roman" w:hAnsi="Times New Roman"/>
          <w:bCs/>
          <w:sz w:val="24"/>
          <w:szCs w:val="24"/>
          <w:lang w:val="pl-PL"/>
        </w:rPr>
        <w:t>ń</w:t>
      </w:r>
      <w:r w:rsidRPr="0038585B">
        <w:rPr>
          <w:rFonts w:ascii="Times New Roman" w:hAnsi="Times New Roman"/>
          <w:bCs/>
          <w:sz w:val="24"/>
          <w:szCs w:val="24"/>
          <w:lang w:val="pl-PL"/>
        </w:rPr>
        <w:t xml:space="preserve"> wykonanych w ramach pracy doktorskiej. </w:t>
      </w:r>
    </w:p>
    <w:p w:rsidR="00CB33E9" w:rsidRDefault="00CB33E9" w:rsidP="00CB33E9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pl-PL"/>
        </w:rPr>
      </w:pPr>
    </w:p>
    <w:p w:rsidR="00CB33E9" w:rsidRPr="0038585B" w:rsidRDefault="00CB33E9" w:rsidP="00CB33E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pl-PL"/>
        </w:rPr>
      </w:pP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Trzecia część rozdziału 4 skupia się na nowej 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molekule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perylenodiimidu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(PDI), o której wiadomo, że wykazuje wysoką absorpcję molową i wysoką absorpcję w widmie widzialnym. PDI została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funkcjonalizowana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czterema różnymi grupami podstawników w pozycjach 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„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bay</w:t>
      </w:r>
      <w:proofErr w:type="spellEnd"/>
      <w:r>
        <w:rPr>
          <w:rFonts w:ascii="Times New Roman" w:hAnsi="Times New Roman" w:cs="Times New Roman"/>
          <w:sz w:val="24"/>
          <w:szCs w:val="24"/>
          <w:lang w:val="pl-PL" w:bidi="ar-SA"/>
        </w:rPr>
        <w:t>”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. Otrzymane materiały mogą w przyszłości zastąpić tradycyjne materiały do transportu elektronów na bazie fulerenów i prowadzić do lepszej wydajności poprzez minimalizację strat transportowych w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perowskitowych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ogniwach słonecznych. Grupy funkcyjne przyłączone do 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molekuły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PDI wpływają na wyrównanie poziomów energ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etycznych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pomiędzy 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molekułami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PDI a perowskitem, prowadząc w ten sposób do lepszej ekstrakcji ładunku na granicy faz. Dzięki tej nowej 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molekule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PDI uzyskano PCE wynoszący 16,8% w elastycznych 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 xml:space="preserve">ogniwach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perowskit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owych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z potrójnym kationem, o wymiarach 0,18 x 0,13 cm</w:t>
      </w:r>
      <w:r w:rsidRPr="00D21B3B">
        <w:rPr>
          <w:rFonts w:ascii="Times New Roman" w:hAnsi="Times New Roman" w:cs="Times New Roman"/>
          <w:sz w:val="24"/>
          <w:szCs w:val="24"/>
          <w:vertAlign w:val="superscript"/>
          <w:lang w:val="pl-PL" w:bidi="ar-SA"/>
        </w:rPr>
        <w:t>2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. Ta wartość była bliska PCE równemu 17,3% dla urządzenia na bazie estru metylowego kwasu [6,6]-fenylo-C</w:t>
      </w:r>
      <w:r w:rsidRPr="0038585B">
        <w:rPr>
          <w:rFonts w:ascii="Times New Roman" w:hAnsi="Times New Roman" w:cs="Times New Roman"/>
          <w:sz w:val="24"/>
          <w:szCs w:val="24"/>
          <w:vertAlign w:val="subscript"/>
          <w:lang w:val="pl-PL" w:bidi="ar-SA"/>
        </w:rPr>
        <w:t>61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masłowego (PCBM). W załączeniu jest kopia pracy 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„</w:t>
      </w:r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Solution-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processable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perylene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diimide-based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electron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transport materials as non-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fullerene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alternatives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for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inverted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perovskite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solar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cells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pl-PL"/>
        </w:rPr>
        <w:t>”</w:t>
      </w:r>
      <w:r w:rsidRPr="0038585B">
        <w:rPr>
          <w:rFonts w:ascii="Times New Roman" w:eastAsiaTheme="minorEastAsia" w:hAnsi="Times New Roman" w:cs="Times New Roman"/>
          <w:sz w:val="24"/>
          <w:szCs w:val="24"/>
          <w:lang w:val="pl-PL"/>
        </w:rPr>
        <w:t xml:space="preserve"> (DOI: </w:t>
      </w:r>
      <w:r w:rsidRPr="0038585B">
        <w:rPr>
          <w:rFonts w:ascii="Times New Roman" w:hAnsi="Times New Roman"/>
          <w:color w:val="000000" w:themeColor="text1"/>
          <w:sz w:val="24"/>
          <w:szCs w:val="24"/>
          <w:lang w:val="pl-PL"/>
        </w:rPr>
        <w:t>10.1039/d2ta01321e)</w:t>
      </w:r>
      <w:r w:rsidRPr="0038585B">
        <w:rPr>
          <w:rFonts w:ascii="Times New Roman" w:eastAsiaTheme="minorEastAsia" w:hAnsi="Times New Roman" w:cs="Times New Roman"/>
          <w:sz w:val="24"/>
          <w:szCs w:val="24"/>
          <w:lang w:val="pl-PL"/>
        </w:rPr>
        <w:t xml:space="preserve"> prezentując</w:t>
      </w:r>
      <w:r>
        <w:rPr>
          <w:rFonts w:ascii="Times New Roman" w:eastAsiaTheme="minorEastAsia" w:hAnsi="Times New Roman" w:cs="Times New Roman"/>
          <w:sz w:val="24"/>
          <w:szCs w:val="24"/>
          <w:lang w:val="pl-PL"/>
        </w:rPr>
        <w:t>a</w:t>
      </w:r>
      <w:r w:rsidRPr="0038585B">
        <w:rPr>
          <w:rFonts w:ascii="Times New Roman" w:eastAsiaTheme="minorEastAsia" w:hAnsi="Times New Roman" w:cs="Times New Roman"/>
          <w:sz w:val="24"/>
          <w:szCs w:val="24"/>
          <w:lang w:val="pl-PL"/>
        </w:rPr>
        <w:t xml:space="preserve"> szczegółowo tę część bada</w:t>
      </w:r>
      <w:r>
        <w:rPr>
          <w:rFonts w:ascii="Times New Roman" w:eastAsiaTheme="minorEastAsia" w:hAnsi="Times New Roman" w:cs="Times New Roman"/>
          <w:sz w:val="24"/>
          <w:szCs w:val="24"/>
          <w:lang w:val="pl-PL"/>
        </w:rPr>
        <w:t>ń</w:t>
      </w:r>
      <w:r w:rsidRPr="0038585B">
        <w:rPr>
          <w:rFonts w:ascii="Times New Roman" w:eastAsiaTheme="minorEastAsia" w:hAnsi="Times New Roman" w:cs="Times New Roman"/>
          <w:sz w:val="24"/>
          <w:szCs w:val="24"/>
          <w:lang w:val="pl-PL"/>
        </w:rPr>
        <w:t xml:space="preserve"> przeprowadzonych w ramach pracy doktorskiej. </w:t>
      </w:r>
    </w:p>
    <w:p w:rsidR="00CB33E9" w:rsidRPr="0038585B" w:rsidRDefault="00CB33E9" w:rsidP="00CB33E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pl-PL"/>
        </w:rPr>
      </w:pPr>
    </w:p>
    <w:p w:rsidR="00CB33E9" w:rsidRPr="0038585B" w:rsidRDefault="00CB33E9" w:rsidP="00CB33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 w:bidi="ar-SA"/>
        </w:rPr>
      </w:pP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lastRenderedPageBreak/>
        <w:t>W czwartej części rozdziału 4 badano efekty zmiany „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buried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interface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” (ukrytej granicy faz) między materiałem transportującym dziury (HTM) a warstwą perowskitu przy użyciu dużych kationów organicznych (BOC), w celu zwiększenia kontaktu elektr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ycznego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i jakości warstwy perowskitu. Badano również wpływ fluorowania kationu organicznego na skuteczność tej metody modyfikacji. Zilustrowano tworzenie faz perowskitu 2D na 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ukrytej granicy faz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, badając 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odsłonięte dolne warstwy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perowskitu 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i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wskazując na integrację masywnych kationów w 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 xml:space="preserve">jego 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sieć. W przypadku zmodyfikowanych 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warst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w </w:t>
      </w:r>
      <w:r w:rsidRPr="002D7E49">
        <w:rPr>
          <w:rFonts w:ascii="Times New Roman" w:hAnsi="Times New Roman" w:cs="Times New Roman"/>
          <w:sz w:val="24"/>
          <w:szCs w:val="24"/>
          <w:lang w:val="pl-PL" w:bidi="ar-SA"/>
        </w:rPr>
        <w:t xml:space="preserve">liczne 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 xml:space="preserve">techniki spektroskopowe 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i 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 xml:space="preserve">pomiary 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elektryczne ujawniły lepszą ekstrakcję dziur i zmniejszone straty w wyniku rekombinacji niepromienistej. W różnych przeprowadzonych testach stabilności (test termiczny w temperaturze 85 °C, test działania w punkcie mocy maksymalnej, test wygrzewania w obwodzie otwartym) urządzenia ze stykiem po stronie p zmodyfikowanym BOC wykazują znacznie lepszą niezawodność długoterminową i wykazują lepszą wydajność fotowoltaiczną (blisk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o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19% dla najlepszego urządzenia wielkopowierzchniowego na elastycznym podłożu o wymiarach 0,18 x 0,13 cm</w:t>
      </w:r>
      <w:r w:rsidRPr="0038585B">
        <w:rPr>
          <w:rFonts w:ascii="Times New Roman" w:hAnsi="Times New Roman" w:cs="Times New Roman"/>
          <w:sz w:val="24"/>
          <w:szCs w:val="24"/>
          <w:vertAlign w:val="superscript"/>
          <w:lang w:val="pl-PL" w:bidi="ar-SA"/>
        </w:rPr>
        <w:t>2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). Ponadto potwierdzono te 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wyniki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, zwracając uwagę na wzmocnioną integralność strukturalną warstw perowskitu w następstwie zmiany granicy faz, co objawia się wolniejszym uwalnianiem jodu podczas ciągłego naświetlania. Potwierdzono to dodatkowo modelowaniem obliczeniowym zmodyfikowanych i niezmienionych oddziaływań HTM/perowskit. Doł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ą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czono kopię pracy „</w:t>
      </w:r>
      <w:proofErr w:type="spellStart"/>
      <w:r w:rsidRPr="0038585B">
        <w:rPr>
          <w:rFonts w:ascii="Times New Roman" w:hAnsi="Times New Roman" w:cs="Times New Roman"/>
          <w:i/>
          <w:iCs/>
          <w:sz w:val="24"/>
          <w:szCs w:val="24"/>
          <w:lang w:val="pl-PL"/>
        </w:rPr>
        <w:t>Modification</w:t>
      </w:r>
      <w:proofErr w:type="spellEnd"/>
      <w:r w:rsidRPr="0038585B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of a </w:t>
      </w:r>
      <w:proofErr w:type="spellStart"/>
      <w:r w:rsidRPr="0038585B">
        <w:rPr>
          <w:rFonts w:ascii="Times New Roman" w:hAnsi="Times New Roman" w:cs="Times New Roman"/>
          <w:i/>
          <w:iCs/>
          <w:sz w:val="24"/>
          <w:szCs w:val="24"/>
          <w:lang w:val="pl-PL"/>
        </w:rPr>
        <w:t>Buried</w:t>
      </w:r>
      <w:proofErr w:type="spellEnd"/>
      <w:r w:rsidRPr="0038585B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Interface with </w:t>
      </w:r>
      <w:proofErr w:type="spellStart"/>
      <w:r w:rsidRPr="0038585B">
        <w:rPr>
          <w:rFonts w:ascii="Times New Roman" w:hAnsi="Times New Roman" w:cs="Times New Roman"/>
          <w:i/>
          <w:iCs/>
          <w:sz w:val="24"/>
          <w:szCs w:val="24"/>
          <w:lang w:val="pl-PL"/>
        </w:rPr>
        <w:t>Bulky</w:t>
      </w:r>
      <w:proofErr w:type="spellEnd"/>
      <w:r w:rsidRPr="0038585B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hAnsi="Times New Roman" w:cs="Times New Roman"/>
          <w:i/>
          <w:iCs/>
          <w:sz w:val="24"/>
          <w:szCs w:val="24"/>
          <w:lang w:val="pl-PL"/>
        </w:rPr>
        <w:t>Organic</w:t>
      </w:r>
      <w:proofErr w:type="spellEnd"/>
      <w:r w:rsidRPr="0038585B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hAnsi="Times New Roman" w:cs="Times New Roman"/>
          <w:i/>
          <w:iCs/>
          <w:sz w:val="24"/>
          <w:szCs w:val="24"/>
          <w:lang w:val="pl-PL"/>
        </w:rPr>
        <w:t>Cations</w:t>
      </w:r>
      <w:proofErr w:type="spellEnd"/>
      <w:r w:rsidRPr="0038585B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for Highly </w:t>
      </w:r>
      <w:proofErr w:type="spellStart"/>
      <w:r w:rsidRPr="0038585B">
        <w:rPr>
          <w:rFonts w:ascii="Times New Roman" w:hAnsi="Times New Roman" w:cs="Times New Roman"/>
          <w:i/>
          <w:iCs/>
          <w:sz w:val="24"/>
          <w:szCs w:val="24"/>
          <w:lang w:val="pl-PL"/>
        </w:rPr>
        <w:t>Stable</w:t>
      </w:r>
      <w:proofErr w:type="spellEnd"/>
      <w:r w:rsidRPr="0038585B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hAnsi="Times New Roman" w:cs="Times New Roman"/>
          <w:i/>
          <w:iCs/>
          <w:sz w:val="24"/>
          <w:szCs w:val="24"/>
          <w:lang w:val="pl-PL"/>
        </w:rPr>
        <w:t>Flexible</w:t>
      </w:r>
      <w:proofErr w:type="spellEnd"/>
      <w:r w:rsidRPr="0038585B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hAnsi="Times New Roman" w:cs="Times New Roman"/>
          <w:i/>
          <w:iCs/>
          <w:sz w:val="24"/>
          <w:szCs w:val="24"/>
          <w:lang w:val="pl-PL"/>
        </w:rPr>
        <w:t>Perovskite</w:t>
      </w:r>
      <w:proofErr w:type="spellEnd"/>
      <w:r w:rsidRPr="0038585B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Solar </w:t>
      </w:r>
      <w:proofErr w:type="spellStart"/>
      <w:r w:rsidRPr="0038585B">
        <w:rPr>
          <w:rFonts w:ascii="Times New Roman" w:hAnsi="Times New Roman" w:cs="Times New Roman"/>
          <w:i/>
          <w:iCs/>
          <w:sz w:val="24"/>
          <w:szCs w:val="24"/>
          <w:lang w:val="pl-PL"/>
        </w:rPr>
        <w:t>Cells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Pr="0038585B">
        <w:rPr>
          <w:rFonts w:ascii="Times New Roman" w:hAnsi="Times New Roman" w:cs="Times New Roman"/>
          <w:sz w:val="24"/>
          <w:szCs w:val="24"/>
          <w:lang w:val="pl-PL"/>
        </w:rPr>
        <w:t xml:space="preserve"> (DOI: </w:t>
      </w:r>
      <w:r w:rsidRPr="0038585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pl-PL"/>
        </w:rPr>
        <w:t>10.1021/acsaem.2c02780</w:t>
      </w:r>
      <w:r w:rsidRPr="0038585B">
        <w:rPr>
          <w:rFonts w:ascii="Times New Roman" w:hAnsi="Times New Roman" w:cs="Times New Roman"/>
          <w:sz w:val="24"/>
          <w:szCs w:val="24"/>
          <w:lang w:val="pl-PL"/>
        </w:rPr>
        <w:t>)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poświęcon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ą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tej części bada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ń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przeprowadzonych w ramach pracy doktorskiej. </w:t>
      </w:r>
    </w:p>
    <w:p w:rsidR="00CB33E9" w:rsidRPr="0038585B" w:rsidRDefault="00CB33E9" w:rsidP="00CB33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 w:bidi="ar-SA"/>
        </w:rPr>
      </w:pPr>
    </w:p>
    <w:p w:rsidR="00CB33E9" w:rsidRDefault="00CB33E9" w:rsidP="00CB33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 w:bidi="ar-SA"/>
        </w:rPr>
      </w:pP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W ostatniej części rozdziału 4 przedstawiono zaproponowaną technikę laminowania zapewniającą silną hermetyzacj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ę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ogniw. Przedstawiono odpowiednie materiały klejące, folie barierowe i uszczelniacze krawędzi. Uniwersalność tej techniki wykazano poprzez zastosowanie opracowanej procedury do trzech różnych konfiguracji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perowskitowych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ogniw słonecznych (p-i-n z węglem, p-i-n ze srebrem i n-i z węglem) wytworzonych z dużą powierzchnią aktywną (1 cm</w:t>
      </w:r>
      <w:r w:rsidRPr="0038585B">
        <w:rPr>
          <w:rFonts w:ascii="Times New Roman" w:hAnsi="Times New Roman" w:cs="Times New Roman"/>
          <w:sz w:val="24"/>
          <w:szCs w:val="24"/>
          <w:vertAlign w:val="superscript"/>
          <w:lang w:val="pl-PL" w:bidi="ar-SA"/>
        </w:rPr>
        <w:t>2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). Wysokowydajne, elastyczne ogniw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a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słoneczn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e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(0,18 x 0,13 cm</w:t>
      </w:r>
      <w:r w:rsidRPr="0038585B">
        <w:rPr>
          <w:rFonts w:ascii="Times New Roman" w:hAnsi="Times New Roman" w:cs="Times New Roman"/>
          <w:sz w:val="24"/>
          <w:szCs w:val="24"/>
          <w:vertAlign w:val="superscript"/>
          <w:lang w:val="pl-PL" w:bidi="ar-SA"/>
        </w:rPr>
        <w:t>2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) zachowały ponad 85% swojej początkowej wydajności po serii testów przyspieszonego starzenia opartych na normach branżowych (IEC 61215 i IEC 61646), które obejmowały 1400 godzin w warunkach wysokiej wilgotności i wysokiej temperatury, 50 cykli termicznych i 10 cykli zamrażania w warunkach wysokiej wilgotności. Otrzymane wyniki były znaczącym przełomem w badaniach nad stabilnością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perowskitowych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ogniw słonecznych, ponieważ przedstawiono przekonującą ocenę długoterminowej niezawodności elastyczn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ej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fotowoltaiki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lastRenderedPageBreak/>
        <w:t>perowskitowej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w rzeczywistych warunkach zewnętrznych. Dołączono kopię pracy „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Encapsulation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protocol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for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flexible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perovskite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solar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cells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enabling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stability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in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accelerated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aging</w:t>
      </w:r>
      <w:proofErr w:type="spellEnd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 xml:space="preserve"> </w:t>
      </w:r>
      <w:proofErr w:type="spellStart"/>
      <w:r w:rsidRPr="0038585B">
        <w:rPr>
          <w:rFonts w:ascii="Times New Roman" w:eastAsiaTheme="minorEastAsia" w:hAnsi="Times New Roman" w:cs="Times New Roman"/>
          <w:i/>
          <w:iCs/>
          <w:sz w:val="24"/>
          <w:szCs w:val="24"/>
          <w:lang w:val="pl-PL"/>
        </w:rPr>
        <w:t>tests</w:t>
      </w:r>
      <w:proofErr w:type="spellEnd"/>
      <w:r w:rsidRPr="0038585B">
        <w:rPr>
          <w:rFonts w:ascii="Times New Roman" w:eastAsiaTheme="minorEastAsia" w:hAnsi="Times New Roman" w:cs="Times New Roman"/>
          <w:sz w:val="24"/>
          <w:szCs w:val="24"/>
          <w:lang w:val="pl-PL"/>
        </w:rPr>
        <w:t xml:space="preserve">” (DOI: </w:t>
      </w:r>
      <w:r w:rsidRPr="003858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>10.1002/eem2.12434)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opisując</w:t>
      </w:r>
      <w:r>
        <w:rPr>
          <w:rFonts w:ascii="Times New Roman" w:hAnsi="Times New Roman" w:cs="Times New Roman"/>
          <w:sz w:val="24"/>
          <w:szCs w:val="24"/>
          <w:lang w:val="pl-PL" w:bidi="ar-SA"/>
        </w:rPr>
        <w:t>ą</w:t>
      </w: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tę część badań przeprowadzonych w ramach pracy doktorskiej. </w:t>
      </w:r>
    </w:p>
    <w:p w:rsidR="00CB33E9" w:rsidRPr="0038585B" w:rsidRDefault="00CB33E9" w:rsidP="00CB33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 w:bidi="ar-SA"/>
        </w:rPr>
      </w:pPr>
    </w:p>
    <w:p w:rsidR="00CB33E9" w:rsidRDefault="00CB33E9" w:rsidP="00CB33E9">
      <w:pPr>
        <w:spacing w:after="0" w:line="360" w:lineRule="auto"/>
        <w:jc w:val="both"/>
        <w:rPr>
          <w:lang w:val="pl-PL"/>
        </w:rPr>
      </w:pPr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W Rozdziale 5 podano podstawowe wyniki uzyskane w ramach tego projektu doktorskiego oraz ich konsekwencje w dziedzinie badań nad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perowskitowymi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modułami słonecznymi. Rozprawę zakończono wieloma propozycjami przyszłych prac w dziedzinie </w:t>
      </w:r>
      <w:proofErr w:type="spellStart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>perowskitowych</w:t>
      </w:r>
      <w:proofErr w:type="spellEnd"/>
      <w:r w:rsidRPr="0038585B">
        <w:rPr>
          <w:rFonts w:ascii="Times New Roman" w:hAnsi="Times New Roman" w:cs="Times New Roman"/>
          <w:sz w:val="24"/>
          <w:szCs w:val="24"/>
          <w:lang w:val="pl-PL" w:bidi="ar-SA"/>
        </w:rPr>
        <w:t xml:space="preserve"> ogniw słonecznych oraz przedstawiono dodatkowe potencjalne udoskonalenie wyników.</w:t>
      </w:r>
    </w:p>
    <w:p w:rsidR="00BD0030" w:rsidRPr="00CB33E9" w:rsidRDefault="00BD0030">
      <w:pPr>
        <w:rPr>
          <w:lang w:val="pl-PL"/>
        </w:rPr>
      </w:pPr>
      <w:bookmarkStart w:id="1" w:name="_GoBack"/>
      <w:bookmarkEnd w:id="1"/>
    </w:p>
    <w:sectPr w:rsidR="00BD0030" w:rsidRPr="00CB33E9" w:rsidSect="00DE4B3B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3E9"/>
    <w:rsid w:val="00BD0030"/>
    <w:rsid w:val="00CB33E9"/>
    <w:rsid w:val="00DE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630186-FD22-431F-9F17-BFC008CE8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B33E9"/>
    <w:rPr>
      <w:szCs w:val="20"/>
      <w:lang w:val="en-US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33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B33E9"/>
    <w:rPr>
      <w:rFonts w:asciiTheme="majorHAnsi" w:eastAsiaTheme="majorEastAsia" w:hAnsiTheme="majorHAnsi" w:cstheme="majorBidi"/>
      <w:color w:val="2F5496" w:themeColor="accent1" w:themeShade="BF"/>
      <w:sz w:val="32"/>
      <w:szCs w:val="29"/>
      <w:lang w:val="en-US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1648</Words>
  <Characters>9399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Dudkowiak</dc:creator>
  <cp:keywords/>
  <dc:description/>
  <cp:lastModifiedBy>Alina Dudkowiak</cp:lastModifiedBy>
  <cp:revision>1</cp:revision>
  <dcterms:created xsi:type="dcterms:W3CDTF">2023-11-22T09:31:00Z</dcterms:created>
  <dcterms:modified xsi:type="dcterms:W3CDTF">2023-11-22T09:32:00Z</dcterms:modified>
</cp:coreProperties>
</file>